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4F" w:rsidRDefault="00A7374F" w:rsidP="00A7374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4</w:t>
      </w: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</w:p>
    <w:p w:rsidR="00A7374F" w:rsidRPr="00D8246A" w:rsidRDefault="00A7374F" w:rsidP="00A7374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приказу от 31.12.2015 г. № 50-ОД</w:t>
      </w:r>
    </w:p>
    <w:p w:rsidR="00A7374F" w:rsidRPr="00A7374F" w:rsidRDefault="00A7374F" w:rsidP="004738B8">
      <w:pPr>
        <w:shd w:val="clear" w:color="auto" w:fill="FFFFFF"/>
        <w:spacing w:after="0" w:line="283" w:lineRule="atLeast"/>
        <w:jc w:val="right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38"/>
        <w:gridCol w:w="4744"/>
      </w:tblGrid>
      <w:tr w:rsidR="00A7374F" w:rsidRPr="00E20433" w:rsidTr="00A7374F">
        <w:tc>
          <w:tcPr>
            <w:tcW w:w="4789" w:type="dxa"/>
          </w:tcPr>
          <w:p w:rsidR="00A7374F" w:rsidRPr="006D7C4D" w:rsidRDefault="00A7374F" w:rsidP="00A7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A7374F" w:rsidRPr="006D7C4D" w:rsidRDefault="00A7374F" w:rsidP="00A7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74F" w:rsidRDefault="00A7374F" w:rsidP="00A7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</w:t>
            </w:r>
          </w:p>
          <w:p w:rsidR="00A7374F" w:rsidRPr="006D7C4D" w:rsidRDefault="00A7374F" w:rsidP="00A7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A7374F" w:rsidRPr="006D7C4D" w:rsidRDefault="00A7374F" w:rsidP="00A7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C4D">
              <w:rPr>
                <w:rFonts w:ascii="Times New Roman" w:hAnsi="Times New Roman" w:cs="Times New Roman"/>
                <w:sz w:val="24"/>
                <w:szCs w:val="24"/>
              </w:rPr>
              <w:t xml:space="preserve"> от «31» декабря 2015 г.  </w:t>
            </w:r>
          </w:p>
          <w:p w:rsidR="00A7374F" w:rsidRPr="006D7C4D" w:rsidRDefault="00A7374F" w:rsidP="00A76E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2" w:type="dxa"/>
            <w:gridSpan w:val="2"/>
          </w:tcPr>
          <w:p w:rsidR="00A7374F" w:rsidRDefault="00A7374F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УТВЕРЖДЕНО</w:t>
            </w:r>
          </w:p>
          <w:p w:rsidR="00A7374F" w:rsidRPr="00E20433" w:rsidRDefault="00A7374F" w:rsidP="00A76ED5">
            <w:pPr>
              <w:jc w:val="center"/>
              <w:rPr>
                <w:rFonts w:ascii="Times New Roman" w:hAnsi="Times New Roman" w:cs="Times New Roman"/>
                <w:color w:val="3C3C54"/>
                <w:sz w:val="16"/>
                <w:szCs w:val="16"/>
              </w:rPr>
            </w:pPr>
          </w:p>
          <w:p w:rsidR="00A7374F" w:rsidRDefault="00A7374F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 xml:space="preserve">приказом директора </w:t>
            </w:r>
          </w:p>
          <w:p w:rsidR="00A7374F" w:rsidRPr="00E20433" w:rsidRDefault="00A7374F" w:rsidP="00A76ED5">
            <w:pPr>
              <w:jc w:val="center"/>
              <w:rPr>
                <w:rFonts w:ascii="Times New Roman" w:hAnsi="Times New Roman" w:cs="Times New Roman"/>
                <w:color w:val="3C3C54"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МБУОО центр «Диалог»</w:t>
            </w:r>
          </w:p>
          <w:p w:rsidR="00A7374F" w:rsidRPr="00E20433" w:rsidRDefault="00A7374F" w:rsidP="00A76E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433">
              <w:rPr>
                <w:rFonts w:ascii="Times New Roman" w:hAnsi="Times New Roman" w:cs="Times New Roman"/>
                <w:color w:val="3C3C54"/>
                <w:sz w:val="24"/>
                <w:szCs w:val="24"/>
              </w:rPr>
              <w:t>от 31.12.2015 г. № 50-ОД</w:t>
            </w:r>
          </w:p>
        </w:tc>
      </w:tr>
      <w:tr w:rsidR="004738B8" w:rsidRPr="00E20433" w:rsidTr="00A7374F">
        <w:tc>
          <w:tcPr>
            <w:tcW w:w="4827" w:type="dxa"/>
            <w:gridSpan w:val="2"/>
          </w:tcPr>
          <w:p w:rsidR="004738B8" w:rsidRPr="00E20433" w:rsidRDefault="004738B8" w:rsidP="00A76E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4" w:type="dxa"/>
          </w:tcPr>
          <w:p w:rsidR="004738B8" w:rsidRPr="00E20433" w:rsidRDefault="004738B8" w:rsidP="00A76E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38B8" w:rsidRDefault="004738B8" w:rsidP="004738B8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738B8" w:rsidRDefault="004738B8" w:rsidP="004738B8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43046" w:rsidRPr="00943046" w:rsidRDefault="00943046" w:rsidP="004738B8">
      <w:pPr>
        <w:shd w:val="clear" w:color="auto" w:fill="FFFFFF"/>
        <w:spacing w:after="0" w:line="283" w:lineRule="atLeast"/>
        <w:jc w:val="center"/>
        <w:rPr>
          <w:rFonts w:ascii="Trebuchet MS" w:eastAsia="Times New Roman" w:hAnsi="Trebuchet MS" w:cs="Times New Roman"/>
          <w:color w:val="6B6B6B"/>
          <w:sz w:val="20"/>
          <w:szCs w:val="20"/>
          <w:lang w:eastAsia="ru-RU"/>
        </w:rPr>
      </w:pPr>
      <w:r w:rsidRPr="009430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Правила, регламентирующие вопросы</w:t>
      </w:r>
    </w:p>
    <w:p w:rsidR="00943046" w:rsidRPr="00943046" w:rsidRDefault="00943046" w:rsidP="004738B8">
      <w:pPr>
        <w:shd w:val="clear" w:color="auto" w:fill="FFFFFF"/>
        <w:spacing w:after="0" w:line="283" w:lineRule="atLeast"/>
        <w:jc w:val="center"/>
        <w:rPr>
          <w:rFonts w:ascii="Trebuchet MS" w:eastAsia="Times New Roman" w:hAnsi="Trebuchet MS" w:cs="Times New Roman"/>
          <w:color w:val="6B6B6B"/>
          <w:sz w:val="20"/>
          <w:szCs w:val="20"/>
          <w:lang w:eastAsia="ru-RU"/>
        </w:rPr>
      </w:pPr>
      <w:r w:rsidRPr="009430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обмена деловыми подарками и знаками делового гостеприимства</w:t>
      </w:r>
    </w:p>
    <w:p w:rsidR="00C74DD1" w:rsidRDefault="00C74DD1" w:rsidP="004738B8">
      <w:pPr>
        <w:shd w:val="clear" w:color="auto" w:fill="FFFFFF"/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 м</w:t>
      </w:r>
      <w:r w:rsidR="00943046" w:rsidRPr="009430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униципальном бюджетном учреждении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осуществляющем обучение, «Центр психолого-педагогической, медицинской и социальной помощи «Диалог» </w:t>
      </w:r>
    </w:p>
    <w:p w:rsidR="00943046" w:rsidRPr="00943046" w:rsidRDefault="00943046" w:rsidP="00943046">
      <w:pPr>
        <w:shd w:val="clear" w:color="auto" w:fill="FFFFFF"/>
        <w:spacing w:before="75" w:after="0" w:line="283" w:lineRule="atLeast"/>
        <w:jc w:val="center"/>
        <w:rPr>
          <w:rFonts w:ascii="Trebuchet MS" w:eastAsia="Times New Roman" w:hAnsi="Trebuchet MS" w:cs="Times New Roman"/>
          <w:color w:val="6B6B6B"/>
          <w:sz w:val="20"/>
          <w:szCs w:val="20"/>
          <w:lang w:eastAsia="ru-RU"/>
        </w:rPr>
      </w:pPr>
      <w:r w:rsidRPr="009430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 Общие положения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Правила обмена деловыми подарками и з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наками делового гостеприимства в м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униципальном бюджетном учреждении</w:t>
      </w:r>
      <w:r w:rsid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осуществляющем обучение, «Центр психолого-педагогической, медицинской и социальной помощи «Диалог» (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Правила) разработаны в соответствии с Федеральным законом от 25.12.2008 г.№ 273-ФЗ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нормативными правовыми актами Российской Федерации, Кодексом этики и служебного поведения работников 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4DD1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униципально</w:t>
      </w:r>
      <w:r w:rsid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</w:t>
      </w:r>
      <w:r w:rsidR="00C74DD1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бюджетного учреждения, осуществляющего обучение, «Центр психолого-педагогической, медицинской и социальной помощи «Диалог» (далее – Центр)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основаны на общепризнанных нравственных принципах и нормах российского общества и государства.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Правила опред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еляют единые для всех работников 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дарению и принятию деловых подарков.</w:t>
      </w:r>
    </w:p>
    <w:p w:rsidR="00943046" w:rsidRPr="00C74DD1" w:rsidRDefault="00C74DD1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1.3. Центр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корпоративную культуру, в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деловые подарки, знаки делового гостеприимства и представительские мероприятия рассматриваться работниками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как инструмент для установления и поддержания деловых отношений и как проявление об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щепринятой вежливости в ходе деятельности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 из того, что долговременные деловые отношения, основываются на доверии, взаимном уважении, успехе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которых нарушается закон и принципы 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этики, вредят репутации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честному имени ее работников и не могут обеспечить устойчивое долговременное развитие </w:t>
      </w:r>
      <w:r w:rsid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Такого рода отношения не могут быть приемлемы в практике работы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Действие Правил распространяется на всех работников</w:t>
      </w:r>
      <w:r w:rsidR="00F0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 зависимости от уровня занимаемой должности.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термином «работник» в настоящих Правилах понимаются штатные работники с полной или частичной занятостью, вступившие в трудовые отно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 Центром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их должности.</w:t>
      </w:r>
    </w:p>
    <w:p w:rsidR="00943046" w:rsidRPr="00C74DD1" w:rsidRDefault="00943046" w:rsidP="00BD0520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Работникам, представляющим интересы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от его имени, важно понимать границы допу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стимого поведения при обмене дел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овыми подарками и оказании делового гостеприимства.</w:t>
      </w:r>
    </w:p>
    <w:p w:rsidR="00943046" w:rsidRPr="00C74DD1" w:rsidRDefault="00943046" w:rsidP="00BD0520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употреблении в настоящих Правилах терминов, описывающих гостеприимство, «представи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тельские мероприятия», «деловое го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степриимство», «корпоративное гостеприимство» - все положения данных Правил применимы к ним одинаковым образом.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намерения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2.1.Данные Правила преследует следующие цели:</w:t>
      </w:r>
    </w:p>
    <w:p w:rsidR="00943046" w:rsidRPr="00C74DD1" w:rsidRDefault="00BD0520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единообразного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роли и места деловых подарков, делового гостеприимства, представительских мероприятий в деловой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хозяйственной и проносящей доход деятельности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единых для всех работников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дарению и принятию деловых подарков, к организации и участию в представительских мероприятиях;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BD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обмена деловыми подарками</w:t>
      </w:r>
    </w:p>
    <w:p w:rsidR="00943046" w:rsidRPr="00C74DD1" w:rsidRDefault="00943046" w:rsidP="00BD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знаками делового гостеприимства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Работники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м, локальным нормативным актам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3.2.Подарки и услуги, принимаемые и предоставляемые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передаются и принимаются только от имени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а не как подарок или передача от отдельного работника </w:t>
      </w:r>
      <w:r w:rsidR="00BD05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43046" w:rsidRPr="00C74DD1" w:rsidRDefault="00BD0520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3.4. Деловые подарки,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дарению,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 делового гостеприимства,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которые работники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Центра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имени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Центра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могут передавать другим лицам и организациям, или принимать от имени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Центра,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других лиц и организаций в связи со своей трудовой деятельностью, а 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расходы,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деловое гостеприимство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нести, должны одновременно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ответствовать следующим критериям: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прямо связаны с уставным</w:t>
      </w:r>
      <w:r w:rsidR="00BD05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целями деятельности Центра, напри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с презентацией или завершением проектов, успешным исполнением контрактов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ибо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разумно обоснованными, соразмерными и не являться предмета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 роскоши;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подарка не может превышать 3000,00 рублей;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должн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быть согласованы с директором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тку оказать влияние на получате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с иной незаконной или неэтичной целью;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создавать </w:t>
      </w:r>
      <w:proofErr w:type="spellStart"/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репутационного</w:t>
      </w:r>
      <w:proofErr w:type="spellEnd"/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риска для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работников и иных лиц в случае раскрытия информации о совершённых подарках и понесенных представительских расходах;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противоречить принципам и требованиям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 законодательства Российской Федерации,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антикорруп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ционной поли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тики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кодекса профессиональ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ной этики и другим</w:t>
      </w:r>
      <w:r w:rsidR="00613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локальным</w:t>
      </w:r>
      <w:r w:rsidR="00613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актам</w:t>
      </w:r>
      <w:r w:rsidR="00613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общепринятым нормам морали и нравственности.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3.5. Деловые подарки, в том числе в виде оказа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услуг, знаков особого внима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и участия в развлекательных и аналогичных мероприятиях не должны ставить принимающую сторону в зависимо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положение, приводить к возник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новению каких-либо встречных обязательст</w:t>
      </w:r>
      <w:r w:rsidR="002203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 стороны получателя или ока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зывать влияние на объективность его деловых суждений и решений.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Для установления и поддержания деловых отношений и как проявление об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щепринятой вежливости работники 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логотипом Центра (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Учреждения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), цветы, кондитерские изделия и аналогичная продукция.</w:t>
      </w:r>
    </w:p>
    <w:p w:rsidR="00943046" w:rsidRPr="00220383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 При получении делового подарка или знаков делового гостеприимства работник 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принять меры по недопущению возможности возникновения конфликта интересов в соответствии с </w:t>
      </w:r>
      <w:r w:rsidRP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</w:t>
      </w:r>
      <w:r w:rsidR="00220383" w:rsidRP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к служебному поведению сотрудников Центра</w:t>
      </w:r>
      <w:r w:rsidRP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220383" w:rsidRP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 Центра</w:t>
      </w:r>
      <w:r w:rsidRP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136A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220383" w:rsidRP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обязанности работников </w:t>
      </w:r>
      <w:r w:rsidR="00220383" w:rsidRP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обмене деловыми подарками и знаками делового гостеприимства.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Работники, представляя интересы 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Работники 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3.8.4. При любых сомнениях в правомерности или этичности своих действий работники </w:t>
      </w:r>
      <w:r w:rsidR="00220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3.8.5. Работники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использовать служебное положение в личных целях, включая использование имущества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получения подарков, вознаграждения и иных выгод для себя лично и других лиц в обмен на оказание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получения подарков, вознаграждения и иных выгод для себя лично и других лиц в процессе ведения дел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исле,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до, так и после проведения переговоров о заключении гражданско-правовых договоров и иных сделок.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3.9.6. Работникам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3.8.7. Не допускается передавать и принимать подарки от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3.8.8. Работники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отказываться от предложений, получения подарков, оплаты их расходов и т.п., когда подобные действия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могут повлиять или создать впечатление о влиянии на исход сделки, результат проведения торгов, на принимаемые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т.д.</w:t>
      </w:r>
    </w:p>
    <w:p w:rsidR="00943046" w:rsidRPr="00C74DD1" w:rsidRDefault="00613ABE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3.8.9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Подарки не должны быть использованы для дачи/получения взяток или коррупции во всех ее проявлениях.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3.8.10. В качестве подарков работники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стремиться использовать в максимально допустимом количестве случаев сувениры, предметы и изделия, имеющие символику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3.8.11. Подарки и услуги не должны ставить под сомнение имидж или деловую репутацию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ее работника. Работник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получивший деловой подарок, обязан сообщить об этом директору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3.8.12. Работник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тона, стоимостью выше 3000 (т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рех тысяч) рублей или не соответствующие закону. Если работнику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 подобные подарки или деньги, он обязан немедленно сообщить об этом директору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3.8.13. Работник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Центра,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отказаться от них и немедленно уведомить директора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факте предложения подарка (вознаграждения);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продолжить работу в установленном в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над вопросом, с которым был связан подарок или вознаграждение.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в письменной форме уведомить об должностное лицо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противодействие коррупции, в соответствии с процедурой раскрытия конфликта интересов, утвержденной локальным нормативным актом</w:t>
      </w:r>
      <w:r w:rsidR="0061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613ABE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Работникам Центра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запрещается: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подобные действия могут повлиять или создать впечатление об их влиянии на принимаемые решения;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подарки в форме наличных, безналичных денежных средств, ценных бумаг, драгоценных металлов.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3.11. В случае осуществления спонсорских, благотворительных программ и мероприятий</w:t>
      </w:r>
      <w:r w:rsidR="0013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 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</w:t>
      </w:r>
      <w:r w:rsidR="0013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предварительно удостовериться, что предоставляемая</w:t>
      </w:r>
      <w:r w:rsidR="0013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Центром 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не </w:t>
      </w:r>
      <w:r w:rsidR="0013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 использована в коррупцион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ных целях или иным незаконным путём.</w:t>
      </w:r>
    </w:p>
    <w:p w:rsidR="00943046" w:rsidRPr="00C74DD1" w:rsidRDefault="00136AD1" w:rsidP="00136AD1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принять решение об участии в благотворительных мероприятиях,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создание имиджа Центра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бюджет и план участия в мероприятиях согласуются с директором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="00943046"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046" w:rsidRPr="00C74DD1" w:rsidRDefault="00943046" w:rsidP="00943046">
      <w:pPr>
        <w:shd w:val="clear" w:color="auto" w:fill="FFFFFF"/>
        <w:spacing w:after="0" w:line="322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3.13. Неисполнение настоящих Правил</w:t>
      </w:r>
      <w:r w:rsidR="00136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может стать основанием для прим</w:t>
      </w:r>
      <w:r w:rsidRPr="00C7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Область применения</w:t>
      </w:r>
    </w:p>
    <w:p w:rsidR="00136A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является обязательным для всех и каждого работника </w:t>
      </w:r>
      <w:r w:rsid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работы в </w:t>
      </w:r>
      <w:r w:rsidR="00136A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подлежит применению вне зависимости от того,</w:t>
      </w:r>
    </w:p>
    <w:p w:rsidR="00943046" w:rsidRPr="00C74DD1" w:rsidRDefault="00943046" w:rsidP="0094304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передаются деловые подарки и знаки делового гостеприимства - напрямую или через посредников.</w:t>
      </w:r>
    </w:p>
    <w:p w:rsidR="005E3B9C" w:rsidRPr="00C74DD1" w:rsidRDefault="005E3B9C">
      <w:pPr>
        <w:rPr>
          <w:rFonts w:ascii="Times New Roman" w:hAnsi="Times New Roman" w:cs="Times New Roman"/>
          <w:sz w:val="28"/>
          <w:szCs w:val="28"/>
        </w:rPr>
      </w:pPr>
    </w:p>
    <w:sectPr w:rsidR="005E3B9C" w:rsidRPr="00C7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C0"/>
    <w:rsid w:val="00136AD1"/>
    <w:rsid w:val="00220383"/>
    <w:rsid w:val="002F0FC0"/>
    <w:rsid w:val="004738B8"/>
    <w:rsid w:val="005E3B9C"/>
    <w:rsid w:val="00613ABE"/>
    <w:rsid w:val="00853D2D"/>
    <w:rsid w:val="008D59AA"/>
    <w:rsid w:val="00943046"/>
    <w:rsid w:val="009562E9"/>
    <w:rsid w:val="00A7374F"/>
    <w:rsid w:val="00BD0520"/>
    <w:rsid w:val="00C74DD1"/>
    <w:rsid w:val="00F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738B8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738B8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2018-08-03T06:50:00Z</cp:lastPrinted>
  <dcterms:created xsi:type="dcterms:W3CDTF">2018-08-02T12:56:00Z</dcterms:created>
  <dcterms:modified xsi:type="dcterms:W3CDTF">2018-08-03T06:51:00Z</dcterms:modified>
</cp:coreProperties>
</file>